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12"/>
        <w:tblW w:w="11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56"/>
        <w:gridCol w:w="1024"/>
      </w:tblGrid>
      <w:tr w:rsidR="00750C7E" w:rsidRPr="00750C7E" w:rsidTr="00012219">
        <w:trPr>
          <w:cantSplit/>
          <w:trHeight w:val="67"/>
        </w:trPr>
        <w:tc>
          <w:tcPr>
            <w:tcW w:w="106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F62884">
            <w:pPr>
              <w:pStyle w:val="youthaf0part"/>
              <w:tabs>
                <w:tab w:val="clear" w:pos="284"/>
                <w:tab w:val="left" w:pos="6234"/>
              </w:tabs>
              <w:spacing w:before="0" w:after="0"/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lang w:val="hu-HU" w:eastAsia="hu-HU"/>
              </w:rPr>
              <w:drawing>
                <wp:inline distT="0" distB="0" distL="0" distR="0" wp14:anchorId="3532A650" wp14:editId="73230E58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F62884">
            <w:pPr>
              <w:pStyle w:val="youthaf0part"/>
              <w:tabs>
                <w:tab w:val="clear" w:pos="284"/>
                <w:tab w:val="left" w:pos="6234"/>
              </w:tabs>
              <w:spacing w:before="0" w:after="0"/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F62884">
            <w:pPr>
              <w:pStyle w:val="youthaf0part"/>
              <w:spacing w:before="0" w:after="0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012219">
        <w:trPr>
          <w:cantSplit/>
          <w:trHeight w:val="973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B52C0" w:rsidRDefault="005B68BE" w:rsidP="00F628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« </w:t>
            </w:r>
            <w:r w:rsidR="00DC195F" w:rsidRPr="00B41AA4">
              <w:rPr>
                <w:rFonts w:ascii="Arial" w:hAnsi="Arial" w:cs="Arial"/>
                <w:b/>
                <w:sz w:val="32"/>
                <w:szCs w:val="32"/>
                <w:lang w:val="hu-HU"/>
              </w:rPr>
              <w:t>582787</w:t>
            </w:r>
            <w:r w:rsidR="00DC195F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 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 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B52C0" w:rsidRDefault="008442A8" w:rsidP="00F62884">
            <w:pPr>
              <w:pStyle w:val="youthaf0part"/>
              <w:spacing w:before="0" w:after="0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:rsidTr="00012219">
        <w:trPr>
          <w:cantSplit/>
          <w:trHeight w:val="104"/>
        </w:trPr>
        <w:tc>
          <w:tcPr>
            <w:tcW w:w="11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B52C0" w:rsidRDefault="005B2DC9" w:rsidP="00F62884">
            <w:pPr>
              <w:pStyle w:val="youthaf2subtopic"/>
              <w:spacing w:before="0" w:after="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FB7DBF" w:rsidTr="00012219">
        <w:trPr>
          <w:cantSplit/>
          <w:trHeight w:val="104"/>
        </w:trPr>
        <w:tc>
          <w:tcPr>
            <w:tcW w:w="1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12" w:rsidRPr="003B52C0" w:rsidRDefault="00C73995" w:rsidP="00F62884">
            <w:pPr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00EA5">
              <w:rPr>
                <w:rFonts w:ascii="Arial" w:hAnsi="Arial" w:cs="Arial"/>
                <w:b/>
                <w:sz w:val="24"/>
                <w:szCs w:val="24"/>
              </w:rPr>
              <w:t xml:space="preserve">Applicable </w:t>
            </w:r>
            <w:r w:rsidR="00FB7DBF" w:rsidRPr="00B00EA5">
              <w:rPr>
                <w:rFonts w:ascii="Arial" w:hAnsi="Arial" w:cs="Arial"/>
                <w:b/>
                <w:sz w:val="24"/>
                <w:szCs w:val="24"/>
              </w:rPr>
              <w:t xml:space="preserve">to the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Strand 2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– Measure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00EA5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Town</w:t>
            </w:r>
            <w:r w:rsidR="001837A3" w:rsidRPr="00B00EA5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Twinning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750C7E" w:rsidRPr="000D12A0" w:rsidTr="00012219">
        <w:trPr>
          <w:cantSplit/>
          <w:trHeight w:val="14193"/>
        </w:trPr>
        <w:tc>
          <w:tcPr>
            <w:tcW w:w="1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3B52C0" w:rsidRDefault="00F428C6" w:rsidP="00F62884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:rsidR="00212540" w:rsidRDefault="000D12A0" w:rsidP="00F62884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project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DC195F">
              <w:rPr>
                <w:rFonts w:ascii="Arial" w:hAnsi="Arial" w:cs="Arial"/>
                <w:sz w:val="22"/>
                <w:szCs w:val="22"/>
                <w:lang w:val="en"/>
              </w:rPr>
              <w:t>200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citizens, notably </w:t>
            </w:r>
            <w:r w:rsidR="00DC19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68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participants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DC19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Satu Mare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DC195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Romania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3B52C0" w:rsidRDefault="00DC195F" w:rsidP="00F62884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66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from the c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Presov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Slovakia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and 66 participants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Nyíregyháza (</w:t>
            </w:r>
            <w:r w:rsidRPr="00DC195F">
              <w:rPr>
                <w:rFonts w:ascii="Arial" w:hAnsi="Arial" w:cs="Arial"/>
                <w:b/>
                <w:sz w:val="22"/>
                <w:szCs w:val="22"/>
                <w:lang w:val="en"/>
              </w:rPr>
              <w:t>Hungary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</w:p>
          <w:p w:rsidR="003B52C0" w:rsidRDefault="000D12A0" w:rsidP="00F62884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took place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DC19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Nyíregyháza, Hungary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>, 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DC195F" w:rsidRPr="00CE2BDA">
              <w:rPr>
                <w:rFonts w:ascii="Arial" w:hAnsi="Arial" w:cs="Arial"/>
                <w:sz w:val="22"/>
                <w:szCs w:val="22"/>
                <w:lang w:val="en"/>
              </w:rPr>
              <w:t>17</w:t>
            </w:r>
            <w:r w:rsidR="00212540" w:rsidRPr="00CE2BDA">
              <w:rPr>
                <w:rFonts w:ascii="Arial" w:hAnsi="Arial" w:cs="Arial"/>
                <w:sz w:val="22"/>
                <w:szCs w:val="22"/>
                <w:lang w:val="en"/>
              </w:rPr>
              <w:t>/</w:t>
            </w:r>
            <w:r w:rsidR="00DC195F" w:rsidRPr="00CE2BDA">
              <w:rPr>
                <w:rFonts w:ascii="Arial" w:hAnsi="Arial" w:cs="Arial"/>
                <w:sz w:val="22"/>
                <w:szCs w:val="22"/>
                <w:lang w:val="en"/>
              </w:rPr>
              <w:t>05</w:t>
            </w:r>
            <w:r w:rsidR="00212540" w:rsidRPr="00CE2BDA">
              <w:rPr>
                <w:rFonts w:ascii="Arial" w:hAnsi="Arial" w:cs="Arial"/>
                <w:sz w:val="22"/>
                <w:szCs w:val="22"/>
                <w:lang w:val="en"/>
              </w:rPr>
              <w:t>/</w:t>
            </w:r>
            <w:r w:rsidR="00DC195F">
              <w:rPr>
                <w:rFonts w:ascii="Arial" w:hAnsi="Arial" w:cs="Arial"/>
                <w:sz w:val="22"/>
                <w:szCs w:val="22"/>
                <w:lang w:val="en"/>
              </w:rPr>
              <w:t>2017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DC195F"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20</w:t>
            </w:r>
            <w:r w:rsidR="00212540"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/</w:t>
            </w:r>
            <w:r w:rsidR="00DC195F"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05</w:t>
            </w:r>
            <w:r w:rsidR="00212540"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/</w:t>
            </w:r>
            <w:r w:rsidR="00DC19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2017</w:t>
            </w:r>
          </w:p>
          <w:p w:rsidR="00CE2BDA" w:rsidRDefault="00CE2BDA" w:rsidP="00F62884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:rsidR="00212540" w:rsidRDefault="00CE2BDA" w:rsidP="00F62884">
            <w:p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CE2BDA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Detailed description: 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During the project, young people from </w:t>
            </w:r>
            <w:r w:rsidR="00DD68F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different 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cities came to know each other's cities, the youth development directions of each city, and formulated recommendations for decision makers in 8 sections within a student parliament. On the first day after the arrival, young people held a 1 hour </w:t>
            </w:r>
            <w:r w:rsidR="002A1F1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demonstration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of their cit</w:t>
            </w:r>
            <w:r w:rsidR="00DD68F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ies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 the form of a </w:t>
            </w:r>
            <w:r w:rsidR="002A1F1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presentation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. In this, they provided general information, historical, geographic, cultural and demographic overview to </w:t>
            </w:r>
            <w:r w:rsidR="00DD68F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participants and </w:t>
            </w:r>
            <w:r w:rsidR="00DD68F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those 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interested. After that, they took part in a sightseeing tour, </w:t>
            </w:r>
            <w:r w:rsidR="00DD68F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and then in the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evening </w:t>
            </w:r>
            <w:r w:rsidR="00DD68F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they got to know</w:t>
            </w:r>
            <w:r w:rsidR="002A1F1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the host city playfully </w:t>
            </w:r>
            <w:r w:rsidR="002A1F13"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 a common city rally</w:t>
            </w:r>
            <w:r w:rsidR="002A1F1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On the second day, plenary sessions were held, </w:t>
            </w:r>
            <w:r w:rsidR="002A1F1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where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young people presented the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youth development trends and the youth li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fe in their cities</w:t>
            </w:r>
            <w:r w:rsidR="002A1F1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A1F13"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in a 2-hour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presentation </w:t>
            </w:r>
            <w:r w:rsidR="002A1F13"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on the basis of the criteria already set out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. Here, young people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were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also looking for joining points for each other's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cities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. After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plenary session and lectures,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they visited 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2 organizations, where they could get acquainted directly with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work in the community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space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 In the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intercultural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evening, they continued to deepen their relationships in an informal way, and they could get acquainted with each other's culture in more detail. On the third day, young people worked in 8 sections. The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topics of the 8 sections were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: international youth exchanges, international trainings, European citizenship, volunteering, structured dialogue, cultural relations and cooperation, international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town 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twinning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cooperations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interest representation. The sections have put forward recommendations to the decision-makers of their own cities, which foresee further co-operation and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also 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deepen relations and broaden the international embeddedness of young people. As an innovative element, a methodological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bourse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was organized on the 3rd day, where the cities b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rought their own good practices and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by using the method of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world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café, participants could 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familiarize themselves with the good practices of each city in a rotating stage system. In the evening, the young people attended the city day, where they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could visit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cultural programs. On the fourth day, evaluation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had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the main role, and young people were looking for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ways to move forward. In this context, several ideas were born, which are expected to be developed in the future. Recommendations were issued and published by the main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applicant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 a publication, which 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they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also sent to the cities and</w:t>
            </w:r>
            <w:r w:rsidR="00BB0B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the</w:t>
            </w:r>
            <w:r w:rsidRPr="00CE2BD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decision-makers.</w:t>
            </w:r>
          </w:p>
          <w:p w:rsidR="00F62884" w:rsidRDefault="00F62884" w:rsidP="00F62884">
            <w:p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Day 1 (May 17th)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12.00: arrival, check in at the accommodation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13-00-14.30: lunch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15.00-17.00: town introductions (geographical locations, education, culture, what we have to know about the town)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17.00-18.30: sightseeing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19.30-21.00: dinner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21.00-: city rally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Day 2 (18th May)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8.00-9.00: breakfast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9.30-10.00: official openings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10.00-12.30: Plenary (Central European Town Twinning Youth Parliament), youth concepts, strategies, development trends, good practices in Satu Mare and Presov.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13.00-14.30: lunch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 xml:space="preserve">15.00-17.00: Plenary, youth concepts, strategies, development trends, good practices in 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Rzeszów and Nyíregyháza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17.30-19.00: organizational visit in Nyíregyháza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19.30-21.00: dinner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21.00-: international nights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Day 3 (19</w:t>
            </w:r>
            <w:r w:rsidRPr="00F6288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62884">
              <w:rPr>
                <w:rFonts w:ascii="Arial" w:hAnsi="Arial" w:cs="Arial"/>
                <w:sz w:val="22"/>
                <w:szCs w:val="22"/>
              </w:rPr>
              <w:t xml:space="preserve"> May)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8.00-9.00: breakfast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 xml:space="preserve">9.30-12.30: sections (8 sections: </w:t>
            </w:r>
            <w:r w:rsidRPr="00F62884">
              <w:rPr>
                <w:rFonts w:ascii="Arial" w:hAnsi="Arial" w:cs="Arial"/>
                <w:sz w:val="22"/>
                <w:szCs w:val="22"/>
                <w:lang w:val="en"/>
              </w:rPr>
              <w:t>International youth exchange, international training, EVS volunteering, EU citizenship, structured dialogue, culture-cultural international co-operation, interest representation- student laws, town twinning cooperation possibilities)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Making recommendations to the towns and decision makers. This will form the basis for the project’s dissemination publication.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13.00-14.30: lunch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15.00-17.00: methodological bourse and world café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17.00-19.30: free program</w:t>
            </w:r>
          </w:p>
          <w:p w:rsidR="00F62884" w:rsidRPr="00F62884" w:rsidRDefault="00F62884" w:rsidP="00F62884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19.30-21.00: dinner</w:t>
            </w:r>
          </w:p>
          <w:p w:rsidR="00F62884" w:rsidRPr="00012219" w:rsidRDefault="00F62884" w:rsidP="00012219">
            <w:pPr>
              <w:pStyle w:val="Nincstrkz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 xml:space="preserve">21.00-02.00: </w:t>
            </w:r>
            <w:r w:rsidRPr="00F62884">
              <w:rPr>
                <w:rFonts w:ascii="Arial" w:hAnsi="Arial" w:cs="Arial"/>
                <w:sz w:val="22"/>
                <w:szCs w:val="22"/>
                <w:lang w:val="en"/>
              </w:rPr>
              <w:t>cultural program, concert at Kossuth Square</w:t>
            </w: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Pr="003B52C0" w:rsidRDefault="00F62884" w:rsidP="00F628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4904" w:rsidRPr="003B52C0" w:rsidRDefault="00734904" w:rsidP="00F62884">
            <w:pPr>
              <w:jc w:val="both"/>
              <w:rPr>
                <w:i/>
                <w:lang w:eastAsia="en-GB"/>
              </w:rPr>
            </w:pPr>
          </w:p>
        </w:tc>
      </w:tr>
    </w:tbl>
    <w:p w:rsidR="00F62884" w:rsidRPr="00F62884" w:rsidRDefault="00F62884" w:rsidP="00F6288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Rcsostblzat"/>
        <w:tblpPr w:leftFromText="141" w:rightFromText="141" w:horzAnchor="margin" w:tblpXSpec="center" w:tblpY="768"/>
        <w:tblW w:w="11233" w:type="dxa"/>
        <w:tblLook w:val="04A0" w:firstRow="1" w:lastRow="0" w:firstColumn="1" w:lastColumn="0" w:noHBand="0" w:noVBand="1"/>
      </w:tblPr>
      <w:tblGrid>
        <w:gridCol w:w="11233"/>
      </w:tblGrid>
      <w:tr w:rsidR="00F62884" w:rsidRPr="00F62884" w:rsidTr="00012219">
        <w:trPr>
          <w:trHeight w:val="264"/>
        </w:trPr>
        <w:tc>
          <w:tcPr>
            <w:tcW w:w="11233" w:type="dxa"/>
          </w:tcPr>
          <w:p w:rsidR="00F62884" w:rsidRPr="00F62884" w:rsidRDefault="00F62884" w:rsidP="00012219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Day 4 (20</w:t>
            </w:r>
            <w:r w:rsidRPr="00F6288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62884">
              <w:rPr>
                <w:rFonts w:ascii="Arial" w:hAnsi="Arial" w:cs="Arial"/>
                <w:sz w:val="22"/>
                <w:szCs w:val="22"/>
              </w:rPr>
              <w:t xml:space="preserve"> May)</w:t>
            </w:r>
          </w:p>
          <w:p w:rsidR="00F62884" w:rsidRPr="00F62884" w:rsidRDefault="00F62884" w:rsidP="00012219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</w:p>
          <w:p w:rsidR="00F62884" w:rsidRPr="00F62884" w:rsidRDefault="00F62884" w:rsidP="00012219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09.00-10.00: breakfast, check-out from the accommodation</w:t>
            </w:r>
          </w:p>
          <w:p w:rsidR="00F62884" w:rsidRDefault="00F62884" w:rsidP="00012219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10.30-1</w:t>
            </w:r>
            <w:r w:rsidR="002F2A52">
              <w:rPr>
                <w:rFonts w:ascii="Arial" w:hAnsi="Arial" w:cs="Arial"/>
                <w:sz w:val="22"/>
                <w:szCs w:val="22"/>
              </w:rPr>
              <w:t>2</w:t>
            </w:r>
            <w:r w:rsidRPr="00F62884">
              <w:rPr>
                <w:rFonts w:ascii="Arial" w:hAnsi="Arial" w:cs="Arial"/>
                <w:sz w:val="22"/>
                <w:szCs w:val="22"/>
              </w:rPr>
              <w:t>.00: evaluation</w:t>
            </w:r>
          </w:p>
          <w:p w:rsidR="00442245" w:rsidRPr="00F62884" w:rsidRDefault="00442245" w:rsidP="00012219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2A5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.00-1</w:t>
            </w:r>
            <w:r w:rsidR="002F2A5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.00: possibilities for further steps</w:t>
            </w:r>
          </w:p>
          <w:p w:rsidR="00F62884" w:rsidRPr="00F62884" w:rsidRDefault="00F62884" w:rsidP="00012219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</w:t>
            </w:r>
            <w:r w:rsidR="002F2A52">
              <w:rPr>
                <w:rFonts w:ascii="Arial" w:hAnsi="Arial" w:cs="Arial"/>
                <w:sz w:val="22"/>
                <w:szCs w:val="22"/>
              </w:rPr>
              <w:t>4</w:t>
            </w:r>
            <w:r w:rsidRPr="00F62884">
              <w:rPr>
                <w:rFonts w:ascii="Arial" w:hAnsi="Arial" w:cs="Arial"/>
                <w:sz w:val="22"/>
                <w:szCs w:val="22"/>
              </w:rPr>
              <w:t>.00-1</w:t>
            </w:r>
            <w:r w:rsidR="002F2A52">
              <w:rPr>
                <w:rFonts w:ascii="Arial" w:hAnsi="Arial" w:cs="Arial"/>
                <w:sz w:val="22"/>
                <w:szCs w:val="22"/>
              </w:rPr>
              <w:t>5.0</w:t>
            </w:r>
            <w:r w:rsidRPr="00F62884">
              <w:rPr>
                <w:rFonts w:ascii="Arial" w:hAnsi="Arial" w:cs="Arial"/>
                <w:sz w:val="22"/>
                <w:szCs w:val="22"/>
              </w:rPr>
              <w:t>0: cold package for lunch</w:t>
            </w:r>
          </w:p>
          <w:p w:rsidR="00F62884" w:rsidRPr="00F62884" w:rsidRDefault="00F62884" w:rsidP="00012219">
            <w:pPr>
              <w:pStyle w:val="Nincstrkz"/>
              <w:rPr>
                <w:rFonts w:ascii="Arial" w:hAnsi="Arial" w:cs="Arial"/>
                <w:sz w:val="22"/>
                <w:szCs w:val="22"/>
              </w:rPr>
            </w:pPr>
            <w:r w:rsidRPr="00F62884">
              <w:rPr>
                <w:rFonts w:ascii="Arial" w:hAnsi="Arial" w:cs="Arial"/>
                <w:sz w:val="22"/>
                <w:szCs w:val="22"/>
              </w:rPr>
              <w:t>1</w:t>
            </w:r>
            <w:r w:rsidR="002F2A52">
              <w:rPr>
                <w:rFonts w:ascii="Arial" w:hAnsi="Arial" w:cs="Arial"/>
                <w:sz w:val="22"/>
                <w:szCs w:val="22"/>
              </w:rPr>
              <w:t>6</w:t>
            </w:r>
            <w:r w:rsidR="00442245">
              <w:rPr>
                <w:rFonts w:ascii="Arial" w:hAnsi="Arial" w:cs="Arial"/>
                <w:sz w:val="22"/>
                <w:szCs w:val="22"/>
              </w:rPr>
              <w:t>.</w:t>
            </w:r>
            <w:r w:rsidRPr="00F62884">
              <w:rPr>
                <w:rFonts w:ascii="Arial" w:hAnsi="Arial" w:cs="Arial"/>
                <w:sz w:val="22"/>
                <w:szCs w:val="22"/>
              </w:rPr>
              <w:t>00: departure</w:t>
            </w:r>
          </w:p>
          <w:p w:rsidR="00F62884" w:rsidRPr="00F62884" w:rsidRDefault="00F62884" w:rsidP="000122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884" w:rsidRDefault="00F62884" w:rsidP="00F62884">
      <w:pPr>
        <w:spacing w:line="276" w:lineRule="auto"/>
        <w:rPr>
          <w:rFonts w:eastAsiaTheme="minorHAnsi"/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pPr w:leftFromText="141" w:rightFromText="141" w:horzAnchor="margin" w:tblpXSpec="center" w:tblpY="-312"/>
        <w:tblW w:w="1125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55"/>
      </w:tblGrid>
      <w:tr w:rsidR="00F62884" w:rsidRPr="005B68BE" w:rsidTr="00F926B6">
        <w:trPr>
          <w:cantSplit/>
          <w:trHeight w:val="943"/>
        </w:trPr>
        <w:tc>
          <w:tcPr>
            <w:tcW w:w="1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884" w:rsidRPr="00B00EA5" w:rsidRDefault="00F62884" w:rsidP="00F62884">
            <w:pPr>
              <w:pStyle w:val="youthaf0part"/>
              <w:spacing w:before="0" w:after="0"/>
              <w:jc w:val="center"/>
              <w:rPr>
                <w:rFonts w:cs="Arial"/>
                <w:i/>
                <w:szCs w:val="24"/>
              </w:rPr>
            </w:pPr>
            <w:r w:rsidRPr="00B00EA5">
              <w:rPr>
                <w:rFonts w:cs="Arial"/>
                <w:szCs w:val="24"/>
              </w:rPr>
              <w:lastRenderedPageBreak/>
              <w:t>Applicable to the Strand 2 – Measure 2.</w:t>
            </w:r>
            <w:r>
              <w:rPr>
                <w:rFonts w:cs="Arial"/>
                <w:szCs w:val="24"/>
              </w:rPr>
              <w:t>2</w:t>
            </w:r>
            <w:r w:rsidRPr="00B00EA5">
              <w:rPr>
                <w:rFonts w:cs="Arial"/>
                <w:szCs w:val="24"/>
              </w:rPr>
              <w:t xml:space="preserve"> </w:t>
            </w:r>
            <w:r w:rsidRPr="00B00EA5">
              <w:rPr>
                <w:rFonts w:cs="Arial"/>
                <w:i/>
                <w:szCs w:val="24"/>
              </w:rPr>
              <w:t>"Networks of Towns"</w:t>
            </w:r>
          </w:p>
          <w:p w:rsidR="00F62884" w:rsidRPr="00B00EA5" w:rsidRDefault="00F62884" w:rsidP="00F62884">
            <w:pPr>
              <w:pStyle w:val="youthaf0part"/>
              <w:spacing w:before="0" w:after="0"/>
              <w:jc w:val="center"/>
              <w:rPr>
                <w:rFonts w:eastAsiaTheme="minorHAnsi" w:cs="Arial"/>
                <w:szCs w:val="24"/>
              </w:rPr>
            </w:pPr>
            <w:r w:rsidRPr="00B00EA5">
              <w:rPr>
                <w:rFonts w:eastAsiaTheme="minorHAnsi" w:cs="Arial"/>
                <w:szCs w:val="24"/>
              </w:rPr>
              <w:t xml:space="preserve">Measure 2.3 </w:t>
            </w:r>
            <w:r w:rsidRPr="00B00EA5">
              <w:rPr>
                <w:rFonts w:cs="Arial"/>
                <w:szCs w:val="24"/>
              </w:rPr>
              <w:t>"C</w:t>
            </w:r>
            <w:r w:rsidRPr="00B00EA5">
              <w:rPr>
                <w:rFonts w:cs="Arial"/>
                <w:i/>
                <w:szCs w:val="24"/>
              </w:rPr>
              <w:t>ivil Society Projects</w:t>
            </w:r>
            <w:r w:rsidRPr="00B00EA5">
              <w:rPr>
                <w:rFonts w:cs="Arial"/>
                <w:szCs w:val="24"/>
              </w:rPr>
              <w:t>"</w:t>
            </w:r>
          </w:p>
          <w:p w:rsidR="00F62884" w:rsidRPr="0047675E" w:rsidRDefault="00F62884" w:rsidP="00F62884">
            <w:pPr>
              <w:pStyle w:val="youthaf0par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B00EA5">
              <w:rPr>
                <w:rFonts w:eastAsiaTheme="minorHAnsi" w:cs="Arial"/>
                <w:bCs/>
                <w:szCs w:val="24"/>
              </w:rPr>
              <w:t xml:space="preserve">Strand 1 – </w:t>
            </w:r>
            <w:r w:rsidRPr="00B00EA5">
              <w:rPr>
                <w:rFonts w:cs="Arial"/>
                <w:szCs w:val="24"/>
              </w:rPr>
              <w:t>"</w:t>
            </w:r>
            <w:r w:rsidRPr="00B00EA5">
              <w:rPr>
                <w:rFonts w:cs="Arial"/>
                <w:i/>
                <w:szCs w:val="24"/>
              </w:rPr>
              <w:t>European Rememberance</w:t>
            </w:r>
            <w:r w:rsidRPr="00B00EA5">
              <w:rPr>
                <w:rFonts w:cs="Arial"/>
                <w:szCs w:val="24"/>
              </w:rPr>
              <w:t>"</w:t>
            </w:r>
          </w:p>
        </w:tc>
      </w:tr>
      <w:tr w:rsidR="00F62884" w:rsidRPr="003B52C0" w:rsidTr="00F926B6">
        <w:trPr>
          <w:cantSplit/>
          <w:trHeight w:val="5240"/>
        </w:trPr>
        <w:tc>
          <w:tcPr>
            <w:tcW w:w="1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884" w:rsidRPr="003B52C0" w:rsidRDefault="00F62884" w:rsidP="00F62884">
            <w:pPr>
              <w:textAlignment w:val="top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  <w:p w:rsidR="00F62884" w:rsidRPr="003B52C0" w:rsidRDefault="00F62884" w:rsidP="00F62884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 w:eastAsia="en-GB"/>
              </w:rPr>
              <w:t>….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 xml:space="preserve"> events have been carried out within this project: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br/>
            </w:r>
            <w:r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1</w:t>
            </w:r>
          </w:p>
          <w:p w:rsidR="00F62884" w:rsidRDefault="00F62884" w:rsidP="00F62884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F62884" w:rsidRDefault="00F62884" w:rsidP="00F62884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:rsidR="00F62884" w:rsidRPr="003B52C0" w:rsidRDefault="00F62884" w:rsidP="00F62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city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country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to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….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</w:p>
          <w:p w:rsidR="00F62884" w:rsidRPr="003B52C0" w:rsidRDefault="00F62884" w:rsidP="00F62884">
            <w:pPr>
              <w:textAlignment w:val="top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F62884" w:rsidRDefault="00F62884" w:rsidP="00F62884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2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F62884" w:rsidRDefault="00F62884" w:rsidP="00F62884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:rsidR="00F62884" w:rsidRPr="003B52C0" w:rsidRDefault="00F62884" w:rsidP="00F62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city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country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to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….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</w:p>
          <w:p w:rsidR="00F62884" w:rsidRPr="003B52C0" w:rsidRDefault="00F62884" w:rsidP="00F628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884" w:rsidRDefault="00F62884" w:rsidP="00F62884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3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F62884" w:rsidRDefault="00F62884" w:rsidP="00F62884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:rsidR="00F62884" w:rsidRPr="003B52C0" w:rsidRDefault="00F62884" w:rsidP="00F62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city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country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to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….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</w:p>
          <w:p w:rsidR="00F62884" w:rsidRDefault="00F62884" w:rsidP="00F62884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4, 5 etc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.</w:t>
            </w:r>
          </w:p>
          <w:p w:rsidR="00F62884" w:rsidRPr="003B52C0" w:rsidRDefault="00F62884" w:rsidP="00F62884">
            <w:pPr>
              <w:textAlignment w:val="top"/>
              <w:rPr>
                <w:rFonts w:ascii="Arial" w:hAnsi="Arial" w:cs="Arial"/>
                <w:vanish/>
                <w:lang w:eastAsia="en-GB"/>
              </w:rPr>
            </w:pPr>
          </w:p>
          <w:p w:rsidR="00F62884" w:rsidRPr="003B52C0" w:rsidRDefault="00F62884" w:rsidP="00F62884">
            <w:pPr>
              <w:pStyle w:val="youthaf2subtopic"/>
              <w:spacing w:before="0" w:after="0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F62884" w:rsidRPr="0066404E" w:rsidRDefault="00F62884" w:rsidP="00F62884">
      <w:pPr>
        <w:pStyle w:val="Default"/>
        <w:jc w:val="both"/>
        <w:rPr>
          <w:color w:val="auto"/>
          <w:sz w:val="18"/>
          <w:szCs w:val="18"/>
        </w:rPr>
      </w:pPr>
    </w:p>
    <w:p w:rsidR="00D0280B" w:rsidRPr="0066404E" w:rsidRDefault="00D0280B" w:rsidP="00F62884">
      <w:pPr>
        <w:pStyle w:val="Default"/>
        <w:jc w:val="both"/>
        <w:rPr>
          <w:color w:val="auto"/>
          <w:sz w:val="18"/>
          <w:szCs w:val="18"/>
        </w:rPr>
      </w:pPr>
    </w:p>
    <w:sectPr w:rsidR="00D0280B" w:rsidRPr="0066404E" w:rsidSect="00F62884">
      <w:pgSz w:w="11906" w:h="16838" w:code="9"/>
      <w:pgMar w:top="426" w:right="720" w:bottom="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E1" w:rsidRDefault="00227BE1" w:rsidP="00E81594">
      <w:r>
        <w:separator/>
      </w:r>
    </w:p>
  </w:endnote>
  <w:endnote w:type="continuationSeparator" w:id="0">
    <w:p w:rsidR="00227BE1" w:rsidRDefault="00227BE1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E1" w:rsidRDefault="00227BE1" w:rsidP="00E81594">
      <w:r>
        <w:separator/>
      </w:r>
    </w:p>
  </w:footnote>
  <w:footnote w:type="continuationSeparator" w:id="0">
    <w:p w:rsidR="00227BE1" w:rsidRDefault="00227BE1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D"/>
    <w:rsid w:val="00012219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27BE1"/>
    <w:rsid w:val="002519CF"/>
    <w:rsid w:val="00264A88"/>
    <w:rsid w:val="00266029"/>
    <w:rsid w:val="002663D5"/>
    <w:rsid w:val="00270809"/>
    <w:rsid w:val="002742B1"/>
    <w:rsid w:val="002744E6"/>
    <w:rsid w:val="00275536"/>
    <w:rsid w:val="0027596E"/>
    <w:rsid w:val="00283167"/>
    <w:rsid w:val="0029570C"/>
    <w:rsid w:val="0029744C"/>
    <w:rsid w:val="002A0777"/>
    <w:rsid w:val="002A1F13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2F2A52"/>
    <w:rsid w:val="00307BAE"/>
    <w:rsid w:val="00307E40"/>
    <w:rsid w:val="00320C0E"/>
    <w:rsid w:val="00336751"/>
    <w:rsid w:val="00351737"/>
    <w:rsid w:val="003538C8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D084C"/>
    <w:rsid w:val="003E3A7C"/>
    <w:rsid w:val="003E75B6"/>
    <w:rsid w:val="003E7BE7"/>
    <w:rsid w:val="003F66B0"/>
    <w:rsid w:val="00403352"/>
    <w:rsid w:val="0042540B"/>
    <w:rsid w:val="00442245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E9B"/>
    <w:rsid w:val="00592674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15D60"/>
    <w:rsid w:val="00620DD5"/>
    <w:rsid w:val="00632464"/>
    <w:rsid w:val="00641917"/>
    <w:rsid w:val="0064375C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0B00"/>
    <w:rsid w:val="00BB59D3"/>
    <w:rsid w:val="00BC2AB9"/>
    <w:rsid w:val="00BD12FC"/>
    <w:rsid w:val="00BD6F4F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E2BD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195F"/>
    <w:rsid w:val="00DC33C7"/>
    <w:rsid w:val="00DD0906"/>
    <w:rsid w:val="00DD68F1"/>
    <w:rsid w:val="00DD7AC2"/>
    <w:rsid w:val="00DE01C2"/>
    <w:rsid w:val="00DE4207"/>
    <w:rsid w:val="00E0735A"/>
    <w:rsid w:val="00E143D9"/>
    <w:rsid w:val="00E336C8"/>
    <w:rsid w:val="00E4275E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2884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EAD653-D392-4D34-9971-359E36A2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F6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BA77-9DCB-43E2-8057-5AE2C5C2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 - EACEA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Windows User</cp:lastModifiedBy>
  <cp:revision>2</cp:revision>
  <cp:lastPrinted>2014-09-30T09:42:00Z</cp:lastPrinted>
  <dcterms:created xsi:type="dcterms:W3CDTF">2017-06-02T12:59:00Z</dcterms:created>
  <dcterms:modified xsi:type="dcterms:W3CDTF">2017-06-02T12:59:00Z</dcterms:modified>
</cp:coreProperties>
</file>